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37E" w14:textId="71A76A74" w:rsidR="00692021" w:rsidRDefault="00692021" w:rsidP="00692021">
      <w:pPr>
        <w:pStyle w:val="BodyText"/>
        <w:spacing w:before="39"/>
        <w:ind w:left="2886" w:right="3165" w:firstLine="477"/>
      </w:pPr>
      <w:r>
        <w:t>University of Pittsburgh 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Vaccine</w:t>
      </w:r>
      <w:r>
        <w:rPr>
          <w:spacing w:val="-11"/>
        </w:rPr>
        <w:t xml:space="preserve"> </w:t>
      </w:r>
      <w:r w:rsidR="00AB71D2">
        <w:t>Research (</w:t>
      </w:r>
      <w:r>
        <w:t>CVR)</w:t>
      </w:r>
    </w:p>
    <w:p w14:paraId="7F65CE89" w14:textId="77777777" w:rsidR="00692021" w:rsidRDefault="00692021" w:rsidP="00692021">
      <w:pPr>
        <w:pStyle w:val="BodyText"/>
        <w:spacing w:line="475" w:lineRule="auto"/>
        <w:ind w:left="3625" w:right="2365" w:hanging="1102"/>
      </w:pPr>
      <w:r>
        <w:t>Regional</w:t>
      </w:r>
      <w:r>
        <w:rPr>
          <w:spacing w:val="-11"/>
        </w:rPr>
        <w:t xml:space="preserve"> </w:t>
      </w:r>
      <w:r>
        <w:t>Biocontainment</w:t>
      </w:r>
      <w:r>
        <w:rPr>
          <w:spacing w:val="-13"/>
        </w:rPr>
        <w:t xml:space="preserve"> </w:t>
      </w:r>
      <w:r>
        <w:t>Laboratory</w:t>
      </w:r>
      <w:r>
        <w:rPr>
          <w:spacing w:val="-12"/>
        </w:rPr>
        <w:t xml:space="preserve"> </w:t>
      </w:r>
      <w:r>
        <w:t>(RBL) Access Guidelines</w:t>
      </w:r>
    </w:p>
    <w:p w14:paraId="7FB14C96" w14:textId="77777777" w:rsidR="00692021" w:rsidRDefault="00692021" w:rsidP="00692021">
      <w:pPr>
        <w:pStyle w:val="ListParagraph"/>
        <w:numPr>
          <w:ilvl w:val="0"/>
          <w:numId w:val="1"/>
        </w:numPr>
        <w:tabs>
          <w:tab w:val="left" w:pos="461"/>
        </w:tabs>
        <w:spacing w:before="5"/>
        <w:ind w:left="460"/>
      </w:pPr>
      <w:r>
        <w:t>The</w:t>
      </w:r>
      <w:r>
        <w:rPr>
          <w:spacing w:val="-4"/>
        </w:rPr>
        <w:t xml:space="preserve"> </w:t>
      </w:r>
      <w:r>
        <w:t>RBL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Collaborative/Shared</w:t>
      </w:r>
      <w:r>
        <w:rPr>
          <w:b/>
          <w:spacing w:val="-5"/>
        </w:rPr>
        <w:t xml:space="preserve"> </w:t>
      </w:r>
      <w:r>
        <w:rPr>
          <w:b/>
        </w:rPr>
        <w:t>Core</w:t>
      </w:r>
      <w:r>
        <w:rPr>
          <w:b/>
          <w:spacing w:val="-5"/>
        </w:rPr>
        <w:t xml:space="preserve"> </w:t>
      </w:r>
      <w:r>
        <w:rPr>
          <w:b/>
        </w:rPr>
        <w:t>Facility</w:t>
      </w:r>
      <w:r>
        <w:rPr>
          <w:b/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5"/>
        </w:rPr>
        <w:t>as:</w:t>
      </w:r>
    </w:p>
    <w:p w14:paraId="4FD40935" w14:textId="77777777" w:rsidR="00692021" w:rsidRDefault="00692021" w:rsidP="00692021">
      <w:pPr>
        <w:pStyle w:val="ListParagraph"/>
        <w:numPr>
          <w:ilvl w:val="1"/>
          <w:numId w:val="1"/>
        </w:numPr>
        <w:tabs>
          <w:tab w:val="left" w:pos="1181"/>
        </w:tabs>
        <w:spacing w:line="272" w:lineRule="exact"/>
      </w:pPr>
      <w:r>
        <w:t>Collaborations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rPr>
          <w:spacing w:val="-2"/>
        </w:rPr>
        <w:t>members</w:t>
      </w:r>
    </w:p>
    <w:p w14:paraId="147213B1" w14:textId="77777777" w:rsidR="00692021" w:rsidRDefault="00692021" w:rsidP="00692021">
      <w:pPr>
        <w:pStyle w:val="ListParagraph"/>
        <w:numPr>
          <w:ilvl w:val="1"/>
          <w:numId w:val="1"/>
        </w:numPr>
        <w:tabs>
          <w:tab w:val="left" w:pos="1181"/>
        </w:tabs>
        <w:spacing w:line="269" w:lineRule="exact"/>
      </w:pPr>
      <w:r>
        <w:t>Not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service</w:t>
      </w:r>
    </w:p>
    <w:p w14:paraId="776A342E" w14:textId="147DA363" w:rsidR="00692021" w:rsidRDefault="00692021" w:rsidP="00692021">
      <w:pPr>
        <w:pStyle w:val="ListParagraph"/>
        <w:numPr>
          <w:ilvl w:val="1"/>
          <w:numId w:val="1"/>
        </w:numPr>
        <w:tabs>
          <w:tab w:val="left" w:pos="1181"/>
        </w:tabs>
        <w:spacing w:line="232" w:lineRule="auto"/>
        <w:ind w:right="114"/>
      </w:pPr>
      <w:r>
        <w:t>Development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techniques</w:t>
      </w:r>
      <w:r>
        <w:rPr>
          <w:spacing w:val="40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supported</w:t>
      </w:r>
      <w:r>
        <w:rPr>
          <w:spacing w:val="39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grants/contracts</w:t>
      </w:r>
      <w:r>
        <w:rPr>
          <w:spacing w:val="37"/>
        </w:rPr>
        <w:t xml:space="preserve"> </w:t>
      </w:r>
      <w:r>
        <w:t>or</w:t>
      </w:r>
      <w:r w:rsidR="00FA3E66">
        <w:t xml:space="preserve"> </w:t>
      </w:r>
      <w:r>
        <w:t xml:space="preserve">departmental </w:t>
      </w:r>
      <w:r>
        <w:rPr>
          <w:spacing w:val="-2"/>
        </w:rPr>
        <w:t>funding</w:t>
      </w:r>
    </w:p>
    <w:p w14:paraId="4060C278" w14:textId="77777777" w:rsidR="00692021" w:rsidRDefault="00692021" w:rsidP="00692021">
      <w:pPr>
        <w:pStyle w:val="BodyText"/>
        <w:spacing w:before="11"/>
        <w:ind w:left="0" w:firstLine="0"/>
        <w:rPr>
          <w:sz w:val="21"/>
        </w:rPr>
      </w:pPr>
    </w:p>
    <w:p w14:paraId="5B1155E0" w14:textId="77777777" w:rsidR="00692021" w:rsidRDefault="00692021" w:rsidP="00692021">
      <w:pPr>
        <w:pStyle w:val="ListParagraph"/>
        <w:numPr>
          <w:ilvl w:val="0"/>
          <w:numId w:val="1"/>
        </w:numPr>
        <w:tabs>
          <w:tab w:val="left" w:pos="462"/>
        </w:tabs>
        <w:ind w:right="115"/>
        <w:jc w:val="both"/>
      </w:pPr>
      <w:r>
        <w:t>CVR does not employ general research staff who are available to provide short or long-term project support to non-members (no fee for service support available).</w:t>
      </w:r>
    </w:p>
    <w:p w14:paraId="43185BE0" w14:textId="77777777" w:rsidR="00692021" w:rsidRDefault="00692021" w:rsidP="00692021">
      <w:pPr>
        <w:pStyle w:val="BodyText"/>
        <w:ind w:left="0" w:firstLine="0"/>
      </w:pPr>
    </w:p>
    <w:p w14:paraId="188970A0" w14:textId="77777777" w:rsidR="00692021" w:rsidRDefault="00692021" w:rsidP="00692021">
      <w:pPr>
        <w:pStyle w:val="ListParagraph"/>
        <w:numPr>
          <w:ilvl w:val="0"/>
          <w:numId w:val="1"/>
        </w:numPr>
        <w:tabs>
          <w:tab w:val="left" w:pos="462"/>
        </w:tabs>
        <w:spacing w:before="1"/>
      </w:pPr>
      <w:r>
        <w:t>The</w:t>
      </w:r>
      <w:r>
        <w:rPr>
          <w:spacing w:val="-2"/>
        </w:rPr>
        <w:t xml:space="preserve"> </w:t>
      </w:r>
      <w:r>
        <w:t>RBL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rPr>
          <w:spacing w:val="-2"/>
        </w:rPr>
        <w:t>facility:</w:t>
      </w:r>
    </w:p>
    <w:p w14:paraId="6BB27234" w14:textId="77777777" w:rsidR="00692021" w:rsidRDefault="00692021" w:rsidP="00692021">
      <w:pPr>
        <w:pStyle w:val="ListParagraph"/>
        <w:numPr>
          <w:ilvl w:val="1"/>
          <w:numId w:val="1"/>
        </w:numPr>
        <w:tabs>
          <w:tab w:val="left" w:pos="1182"/>
        </w:tabs>
        <w:spacing w:line="254" w:lineRule="auto"/>
        <w:ind w:left="1181" w:right="113"/>
        <w:jc w:val="both"/>
      </w:pPr>
      <w:r>
        <w:t>Any</w:t>
      </w:r>
      <w:r>
        <w:rPr>
          <w:spacing w:val="-9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facility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suitability</w:t>
      </w:r>
      <w:r>
        <w:rPr>
          <w:spacing w:val="-9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all research activity within the guidelines of the University of Pittsburgh’s Select Agent Program</w:t>
      </w:r>
      <w:r>
        <w:rPr>
          <w:spacing w:val="-13"/>
        </w:rPr>
        <w:t xml:space="preserve"> </w:t>
      </w:r>
      <w:r>
        <w:t>administered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(EH&amp;S) regardless of the agent in use.</w:t>
      </w:r>
    </w:p>
    <w:p w14:paraId="37D42B0E" w14:textId="51B8D556" w:rsidR="00692021" w:rsidRDefault="00692021" w:rsidP="00692021">
      <w:pPr>
        <w:pStyle w:val="ListParagraph"/>
        <w:numPr>
          <w:ilvl w:val="0"/>
          <w:numId w:val="1"/>
        </w:numPr>
        <w:tabs>
          <w:tab w:val="left" w:pos="462"/>
        </w:tabs>
        <w:spacing w:before="161"/>
        <w:ind w:left="460" w:right="113" w:hanging="359"/>
        <w:jc w:val="both"/>
      </w:pPr>
      <w:r>
        <w:t>Individuals</w:t>
      </w:r>
      <w:r>
        <w:rPr>
          <w:spacing w:val="-10"/>
        </w:rPr>
        <w:t xml:space="preserve"> </w:t>
      </w:r>
      <w:r>
        <w:t>wishing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grants/contracts</w:t>
      </w:r>
      <w:r>
        <w:rPr>
          <w:spacing w:val="-12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Pre-Grant/Contract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 xml:space="preserve">(located at </w:t>
      </w:r>
      <w:hyperlink r:id="rId5" w:history="1">
        <w:r w:rsidR="00DC4B04" w:rsidRPr="00976DC7">
          <w:rPr>
            <w:rStyle w:val="Hyperlink"/>
          </w:rPr>
          <w:t>https://www.cvr.pitt.edu/sites/default/files/Forms/pre-grant_contract_form_2021_3.dotx</w:t>
        </w:r>
      </w:hyperlink>
      <w:r w:rsidR="00666DBD">
        <w:rPr>
          <w:color w:val="0562C1"/>
        </w:rPr>
        <w:t xml:space="preserve"> </w:t>
      </w:r>
      <w:r w:rsidR="00D05607">
        <w:t xml:space="preserve">or </w:t>
      </w:r>
      <w:hyperlink r:id="rId6" w:history="1">
        <w:r w:rsidR="00D05607" w:rsidRPr="00231A42">
          <w:rPr>
            <w:rStyle w:val="Hyperlink"/>
          </w:rPr>
          <w:t>https://www.cvr.pitt.edu/facilities/regional-biocontainment-laboratory</w:t>
        </w:r>
      </w:hyperlink>
      <w:r>
        <w:t>)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approval by the RBL Director.</w:t>
      </w:r>
    </w:p>
    <w:p w14:paraId="61847CCB" w14:textId="5EE8E93D" w:rsidR="00692021" w:rsidRDefault="00692021" w:rsidP="00692021">
      <w:pPr>
        <w:pStyle w:val="ListParagraph"/>
        <w:numPr>
          <w:ilvl w:val="1"/>
          <w:numId w:val="1"/>
        </w:numPr>
        <w:tabs>
          <w:tab w:val="left" w:pos="1181"/>
        </w:tabs>
        <w:spacing w:before="4" w:line="235" w:lineRule="auto"/>
        <w:ind w:right="113"/>
        <w:jc w:val="both"/>
      </w:pPr>
      <w:r>
        <w:t>The Office of Sponsored Programs and Research Operations requires a signed approval letter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RBL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 w:rsidR="00AB71D2">
        <w:t>they</w:t>
      </w:r>
      <w:r>
        <w:rPr>
          <w:spacing w:val="-9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grant/contract</w:t>
      </w:r>
      <w:r>
        <w:rPr>
          <w:spacing w:val="-8"/>
        </w:rPr>
        <w:t xml:space="preserve"> </w:t>
      </w:r>
      <w:r>
        <w:t>proposing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 of the RBL.</w:t>
      </w:r>
    </w:p>
    <w:p w14:paraId="32B4673E" w14:textId="77777777" w:rsidR="00692021" w:rsidRDefault="00692021" w:rsidP="00692021">
      <w:pPr>
        <w:pStyle w:val="BodyText"/>
        <w:spacing w:before="2"/>
        <w:ind w:left="0" w:firstLine="0"/>
      </w:pPr>
    </w:p>
    <w:p w14:paraId="4DE973CA" w14:textId="77777777" w:rsidR="00692021" w:rsidRDefault="00692021" w:rsidP="00692021">
      <w:pPr>
        <w:pStyle w:val="ListParagraph"/>
        <w:numPr>
          <w:ilvl w:val="0"/>
          <w:numId w:val="1"/>
        </w:numPr>
        <w:tabs>
          <w:tab w:val="left" w:pos="461"/>
        </w:tabs>
        <w:spacing w:line="235" w:lineRule="auto"/>
        <w:ind w:left="460" w:right="115"/>
      </w:pPr>
      <w:r>
        <w:t>After securing project funding, but before access can be granted or any work can begin, the PI</w:t>
      </w:r>
      <w:r>
        <w:rPr>
          <w:spacing w:val="40"/>
        </w:rPr>
        <w:t xml:space="preserve"> </w:t>
      </w:r>
      <w:r>
        <w:rPr>
          <w:spacing w:val="-4"/>
        </w:rPr>
        <w:t>must:</w:t>
      </w:r>
    </w:p>
    <w:p w14:paraId="100BE40D" w14:textId="77777777" w:rsidR="00692021" w:rsidRDefault="00692021" w:rsidP="00692021">
      <w:pPr>
        <w:pStyle w:val="ListParagraph"/>
        <w:numPr>
          <w:ilvl w:val="1"/>
          <w:numId w:val="1"/>
        </w:numPr>
        <w:tabs>
          <w:tab w:val="left" w:pos="1181"/>
        </w:tabs>
        <w:spacing w:before="6" w:line="232" w:lineRule="auto"/>
        <w:ind w:right="115"/>
      </w:pPr>
      <w:r>
        <w:t>Ensure that any individual entering the RBL has completed and passed all Select Agent clearances and training.</w:t>
      </w:r>
    </w:p>
    <w:p w14:paraId="33388E21" w14:textId="4FE9B6C6" w:rsidR="00692021" w:rsidRDefault="00AB71D2" w:rsidP="003A63B2">
      <w:pPr>
        <w:pStyle w:val="ListParagraph"/>
        <w:numPr>
          <w:ilvl w:val="1"/>
          <w:numId w:val="1"/>
        </w:numPr>
        <w:tabs>
          <w:tab w:val="left" w:pos="1181"/>
        </w:tabs>
        <w:spacing w:before="4" w:line="232" w:lineRule="auto"/>
        <w:ind w:right="116"/>
        <w:jc w:val="both"/>
      </w:pPr>
      <w:r>
        <w:t>Each independent investigator must h</w:t>
      </w:r>
      <w:r w:rsidR="00692021">
        <w:t>ave an active and fully executed RBL Facilities Access Agreement in place</w:t>
      </w:r>
      <w:r w:rsidR="003A63B2">
        <w:t xml:space="preserve"> (reflecting all components of one complete access fee)</w:t>
      </w:r>
      <w:r>
        <w:t xml:space="preserve"> </w:t>
      </w:r>
      <w:r w:rsidR="00692021">
        <w:t xml:space="preserve">for </w:t>
      </w:r>
      <w:r>
        <w:t>activities</w:t>
      </w:r>
      <w:r w:rsidR="003A63B2">
        <w:rPr>
          <w:spacing w:val="80"/>
        </w:rPr>
        <w:t xml:space="preserve"> </w:t>
      </w:r>
      <w:r w:rsidR="00692021">
        <w:t xml:space="preserve">requiring </w:t>
      </w:r>
      <w:r w:rsidR="00692021">
        <w:rPr>
          <w:i/>
        </w:rPr>
        <w:t xml:space="preserve">in vitro </w:t>
      </w:r>
      <w:r w:rsidR="00692021">
        <w:t>laboratory space.</w:t>
      </w:r>
      <w:r>
        <w:t xml:space="preserve"> </w:t>
      </w:r>
    </w:p>
    <w:p w14:paraId="1BB165CD" w14:textId="77777777" w:rsidR="00692021" w:rsidRDefault="00692021" w:rsidP="00692021">
      <w:pPr>
        <w:pStyle w:val="BodyText"/>
        <w:ind w:left="0" w:firstLine="0"/>
      </w:pPr>
    </w:p>
    <w:p w14:paraId="7F9B2CD4" w14:textId="3875A3FE" w:rsidR="00692021" w:rsidRDefault="00692021" w:rsidP="00692021">
      <w:pPr>
        <w:pStyle w:val="ListParagraph"/>
        <w:numPr>
          <w:ilvl w:val="0"/>
          <w:numId w:val="1"/>
        </w:numPr>
        <w:tabs>
          <w:tab w:val="left" w:pos="461"/>
        </w:tabs>
        <w:ind w:left="460" w:right="116"/>
        <w:jc w:val="both"/>
      </w:pPr>
      <w:r>
        <w:t xml:space="preserve">The RBL </w:t>
      </w:r>
      <w:r>
        <w:rPr>
          <w:i/>
        </w:rPr>
        <w:t xml:space="preserve">in vitro </w:t>
      </w:r>
      <w:r>
        <w:t>laboratory space is equipped with biosafety cabinets and</w:t>
      </w:r>
      <w:r w:rsidR="00F879E1">
        <w:t xml:space="preserve"> carbon dioxide </w:t>
      </w:r>
      <w:r>
        <w:t xml:space="preserve">incubators. </w:t>
      </w:r>
      <w:r w:rsidR="00835EC0">
        <w:t xml:space="preserve">The use </w:t>
      </w:r>
      <w:r w:rsidR="00FC5C25">
        <w:t xml:space="preserve">of </w:t>
      </w:r>
      <w:r>
        <w:t xml:space="preserve">additional equipment required (basic or specialized) must be </w:t>
      </w:r>
      <w:r w:rsidR="00FC5C25">
        <w:t xml:space="preserve">discussed with the CVR Director since there may be </w:t>
      </w:r>
      <w:r w:rsidR="007A3CEB">
        <w:t xml:space="preserve">resource </w:t>
      </w:r>
      <w:r w:rsidR="00FA3E66">
        <w:t>implications</w:t>
      </w:r>
      <w:r>
        <w:t>.</w:t>
      </w:r>
    </w:p>
    <w:p w14:paraId="36EC61BE" w14:textId="77777777" w:rsidR="002700F8" w:rsidRDefault="002700F8"/>
    <w:sectPr w:rsidR="002700F8" w:rsidSect="00224FD1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2405"/>
    <w:multiLevelType w:val="hybridMultilevel"/>
    <w:tmpl w:val="3752A00A"/>
    <w:lvl w:ilvl="0" w:tplc="12409252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28E074">
      <w:numFmt w:val="bullet"/>
      <w:lvlText w:val="o"/>
      <w:lvlJc w:val="left"/>
      <w:pPr>
        <w:ind w:left="11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43A43AC">
      <w:numFmt w:val="bullet"/>
      <w:lvlText w:val="•"/>
      <w:lvlJc w:val="left"/>
      <w:pPr>
        <w:ind w:left="2073" w:hanging="361"/>
      </w:pPr>
      <w:rPr>
        <w:lang w:val="en-US" w:eastAsia="en-US" w:bidi="ar-SA"/>
      </w:rPr>
    </w:lvl>
    <w:lvl w:ilvl="3" w:tplc="96F6C5EC">
      <w:numFmt w:val="bullet"/>
      <w:lvlText w:val="•"/>
      <w:lvlJc w:val="left"/>
      <w:pPr>
        <w:ind w:left="2966" w:hanging="361"/>
      </w:pPr>
      <w:rPr>
        <w:lang w:val="en-US" w:eastAsia="en-US" w:bidi="ar-SA"/>
      </w:rPr>
    </w:lvl>
    <w:lvl w:ilvl="4" w:tplc="9D9A9176">
      <w:numFmt w:val="bullet"/>
      <w:lvlText w:val="•"/>
      <w:lvlJc w:val="left"/>
      <w:pPr>
        <w:ind w:left="3860" w:hanging="361"/>
      </w:pPr>
      <w:rPr>
        <w:lang w:val="en-US" w:eastAsia="en-US" w:bidi="ar-SA"/>
      </w:rPr>
    </w:lvl>
    <w:lvl w:ilvl="5" w:tplc="C3B0E178">
      <w:numFmt w:val="bullet"/>
      <w:lvlText w:val="•"/>
      <w:lvlJc w:val="left"/>
      <w:pPr>
        <w:ind w:left="4753" w:hanging="361"/>
      </w:pPr>
      <w:rPr>
        <w:lang w:val="en-US" w:eastAsia="en-US" w:bidi="ar-SA"/>
      </w:rPr>
    </w:lvl>
    <w:lvl w:ilvl="6" w:tplc="58E81616">
      <w:numFmt w:val="bullet"/>
      <w:lvlText w:val="•"/>
      <w:lvlJc w:val="left"/>
      <w:pPr>
        <w:ind w:left="5646" w:hanging="361"/>
      </w:pPr>
      <w:rPr>
        <w:lang w:val="en-US" w:eastAsia="en-US" w:bidi="ar-SA"/>
      </w:rPr>
    </w:lvl>
    <w:lvl w:ilvl="7" w:tplc="9572AC7C">
      <w:numFmt w:val="bullet"/>
      <w:lvlText w:val="•"/>
      <w:lvlJc w:val="left"/>
      <w:pPr>
        <w:ind w:left="6540" w:hanging="361"/>
      </w:pPr>
      <w:rPr>
        <w:lang w:val="en-US" w:eastAsia="en-US" w:bidi="ar-SA"/>
      </w:rPr>
    </w:lvl>
    <w:lvl w:ilvl="8" w:tplc="9FA4F9CC">
      <w:numFmt w:val="bullet"/>
      <w:lvlText w:val="•"/>
      <w:lvlJc w:val="left"/>
      <w:pPr>
        <w:ind w:left="7433" w:hanging="361"/>
      </w:pPr>
      <w:rPr>
        <w:lang w:val="en-US" w:eastAsia="en-US" w:bidi="ar-SA"/>
      </w:rPr>
    </w:lvl>
  </w:abstractNum>
  <w:num w:numId="1" w16cid:durableId="92067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1"/>
    <w:rsid w:val="00224FD1"/>
    <w:rsid w:val="002700F8"/>
    <w:rsid w:val="003A63B2"/>
    <w:rsid w:val="00666DBD"/>
    <w:rsid w:val="00692021"/>
    <w:rsid w:val="007A3CEB"/>
    <w:rsid w:val="00835EC0"/>
    <w:rsid w:val="00AB71D2"/>
    <w:rsid w:val="00BB29D5"/>
    <w:rsid w:val="00D05607"/>
    <w:rsid w:val="00DC4B04"/>
    <w:rsid w:val="00F879E1"/>
    <w:rsid w:val="00FA3E66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EA25"/>
  <w15:chartTrackingRefBased/>
  <w15:docId w15:val="{79BB6AED-03C3-459D-B981-16E1570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2021"/>
    <w:pPr>
      <w:widowControl w:val="0"/>
      <w:autoSpaceDE w:val="0"/>
      <w:autoSpaceDN w:val="0"/>
      <w:spacing w:after="0" w:line="240" w:lineRule="auto"/>
      <w:ind w:left="1180" w:hanging="361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2021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692021"/>
    <w:pPr>
      <w:widowControl w:val="0"/>
      <w:autoSpaceDE w:val="0"/>
      <w:autoSpaceDN w:val="0"/>
      <w:spacing w:after="0" w:line="240" w:lineRule="auto"/>
      <w:ind w:left="1180" w:hanging="361"/>
    </w:pPr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920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E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r.pitt.edu/facilities/regional-biocontainment-laboratory" TargetMode="External"/><Relationship Id="rId5" Type="http://schemas.openxmlformats.org/officeDocument/2006/relationships/hyperlink" Target="https://www.cvr.pitt.edu/sites/default/files/Forms/pre-grant_contract_form_2021_3.do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Vaccine Research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Mehalic, Michael P</dc:creator>
  <cp:keywords/>
  <dc:description/>
  <cp:lastModifiedBy>Mehalic, Michael P</cp:lastModifiedBy>
  <cp:revision>3</cp:revision>
  <cp:lastPrinted>2024-01-24T14:53:00Z</cp:lastPrinted>
  <dcterms:created xsi:type="dcterms:W3CDTF">2024-01-24T14:55:00Z</dcterms:created>
  <dcterms:modified xsi:type="dcterms:W3CDTF">2024-01-24T15:06:00Z</dcterms:modified>
</cp:coreProperties>
</file>